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t>Poslovna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ED172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38200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Specijalistički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diplomski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studij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Poslovno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upravljanje</w:t>
            </w:r>
            <w:proofErr w:type="spellEnd"/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Andreja Primužak, </w:t>
            </w:r>
            <w:proofErr w:type="spellStart"/>
            <w:r>
              <w:rPr>
                <w:rFonts w:ascii="Cambria" w:hAnsi="Cambria" w:cs="Calibri"/>
                <w:sz w:val="20"/>
              </w:rPr>
              <w:t>dipl.oec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viši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predavač</w:t>
            </w:r>
            <w:proofErr w:type="spellEnd"/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D14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4.</w:t>
            </w:r>
            <w:r w:rsidRPr="00EF5545">
              <w:rPr>
                <w:rFonts w:ascii="Cambria" w:hAnsi="Cambria" w:cs="Calibri"/>
                <w:sz w:val="20"/>
              </w:rPr>
              <w:t>00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1E488F" w:rsidRDefault="002E79B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III. (</w:t>
            </w:r>
            <w:proofErr w:type="spellStart"/>
            <w:r w:rsidR="008C641B" w:rsidRPr="00EF5545">
              <w:rPr>
                <w:rFonts w:ascii="Cambria" w:hAnsi="Cambria" w:cs="Calibri"/>
                <w:sz w:val="20"/>
              </w:rPr>
              <w:t>zimski</w:t>
            </w:r>
            <w:proofErr w:type="spellEnd"/>
            <w:r>
              <w:rPr>
                <w:rFonts w:ascii="Cambria" w:hAnsi="Cambria" w:cs="Calibri"/>
                <w:sz w:val="20"/>
              </w:rPr>
              <w:t>)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1E488F" w:rsidRDefault="00DC13E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8C641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1E488F" w:rsidRDefault="008C641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noProof/>
                <w:sz w:val="20"/>
                <w:szCs w:val="18"/>
                <w:lang w:eastAsia="hr-HR"/>
              </w:rPr>
              <w:t>Cilj ovoga kolegija je studente naučiti ovladavati temeljnim pojmovima, razvijati svijest o važnosti poslovne etike, razumijevati i primjenjivati temeljna etička načela u procesu poslovnoga odlučivanja, prepoznavati i sprječavati neetičko ponašanje u poslovanju, razumijevati društvene odgovornosti, razvijati efikasne etičke programe (kodekse)</w:t>
            </w:r>
            <w:r w:rsidRPr="009F2789">
              <w:rPr>
                <w:rFonts w:ascii="Times New Roman" w:hAnsi="Times New Roman"/>
                <w:noProof/>
                <w:lang w:eastAsia="hr-HR"/>
              </w:rPr>
              <w:t xml:space="preserve"> </w:t>
            </w:r>
            <w:r w:rsidRPr="009F2789">
              <w:rPr>
                <w:rFonts w:ascii="Times New Roman" w:hAnsi="Times New Roman"/>
                <w:noProof/>
                <w:sz w:val="20"/>
                <w:szCs w:val="18"/>
                <w:lang w:eastAsia="hr-HR"/>
              </w:rPr>
              <w:t>i kontrolu njegova provođenja.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Pristunost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više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6</w:t>
            </w:r>
            <w:r w:rsidRPr="00EA5A42">
              <w:rPr>
                <w:rFonts w:ascii="Cambria" w:hAnsi="Cambria" w:cs="Calibri"/>
                <w:sz w:val="20"/>
              </w:rPr>
              <w:t>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Pristunost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više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6</w:t>
            </w:r>
            <w:r w:rsidRPr="00EA5A42">
              <w:rPr>
                <w:rFonts w:ascii="Cambria" w:hAnsi="Cambria" w:cs="Calibri"/>
                <w:sz w:val="20"/>
              </w:rPr>
              <w:t>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CF303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73CC2" w:rsidRPr="00EF5545" w:rsidRDefault="00263649" w:rsidP="00D73CC2">
            <w:pPr>
              <w:rPr>
                <w:rFonts w:ascii="Cambria" w:hAnsi="Cambria" w:cs="Arial"/>
                <w:sz w:val="20"/>
                <w:lang w:eastAsia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1:</w:t>
            </w:r>
            <w:r w:rsidR="00D73CC2" w:rsidRPr="008B0CC4">
              <w:rPr>
                <w:rFonts w:ascii="Cambria" w:hAnsi="Cambria" w:cs="Calibri"/>
                <w:b/>
                <w:sz w:val="20"/>
              </w:rPr>
              <w:t xml:space="preserve"> </w:t>
            </w:r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Pravilno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definirati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pojam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,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predmet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,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načela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i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vrijednosti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poslovne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etike</w:t>
            </w:r>
            <w:proofErr w:type="spellEnd"/>
            <w:r w:rsidR="00D73CC2" w:rsidRPr="00EF5545">
              <w:rPr>
                <w:rFonts w:ascii="Cambria" w:hAnsi="Cambria" w:cs="Arial"/>
                <w:sz w:val="20"/>
                <w:lang w:eastAsia="hr-HR"/>
              </w:rPr>
              <w:t>.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10626" w:rsidRDefault="00810626" w:rsidP="0081062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80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810626" w:rsidRDefault="00810626" w:rsidP="0081062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810626" w:rsidRDefault="00810626" w:rsidP="0081062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Prezentacija</w:t>
            </w:r>
            <w:proofErr w:type="spellEnd"/>
          </w:p>
          <w:p w:rsidR="00263649" w:rsidRPr="001E488F" w:rsidRDefault="00810626" w:rsidP="0081062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20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2:</w:t>
            </w:r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Objasniti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ulogu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moralnih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vrijednosti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i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odgovornosti</w:t>
            </w:r>
            <w:proofErr w:type="spellEnd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 xml:space="preserve"> u </w:t>
            </w:r>
            <w:proofErr w:type="spellStart"/>
            <w:r w:rsidR="00ED68A1" w:rsidRPr="00EF5545">
              <w:rPr>
                <w:rFonts w:ascii="Cambria" w:hAnsi="Cambria" w:cs="Arial"/>
                <w:sz w:val="20"/>
                <w:lang w:eastAsia="hr-HR"/>
              </w:rPr>
              <w:t>poslovanju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3:</w:t>
            </w:r>
            <w:r w:rsidRPr="001E488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Odabrati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etički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ispravne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načine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djelovanja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u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poslovnim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odnosima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4:</w:t>
            </w:r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Planirati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poslovanje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utemeljeno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na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etičkim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standardima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načelima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5:</w:t>
            </w:r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Riješiti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temeljne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etičke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dileme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u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poslovnom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okružju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poduzeća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6: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Planirati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stjecanje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profita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i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pozitivnog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poslovnog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imidža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u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okviru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etičkih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 xml:space="preserve"> </w:t>
            </w:r>
            <w:proofErr w:type="spellStart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načela</w:t>
            </w:r>
            <w:proofErr w:type="spellEnd"/>
            <w:r w:rsidR="00F15463" w:rsidRPr="00EF5545">
              <w:rPr>
                <w:rFonts w:ascii="Cambria" w:hAnsi="Cambria" w:cs="Arial"/>
                <w:sz w:val="20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956E3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263649" w:rsidRPr="001E488F" w:rsidRDefault="00263649" w:rsidP="0026364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1E488F" w:rsidRDefault="00810626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moći objasniti ulogu moralnih vrijednosti u poslovanju, kao i prepoznati etičke dileme te odabrati etički ispravne načine kako ih riješiti. Također znat će planirati poslovanje u skladu s moralnim načelima i u skladu s vrijednostima poslovne etike. Moći će odabrati načine stjecanja profita i stvaranja poslovnog imidža koji će biti u okviru etičkih načela.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A43DDF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Prisutnost na predavanjima (više od 60%) i vježbama (više od 60%)</w:t>
            </w: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A43DDF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Prisutnost na predavanjima (više od 60%) i vježbama (više od 60%)i održana prezentacija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412164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0,8</w:t>
            </w: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41216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3,2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0D20CB" w:rsidRPr="001E488F" w:rsidRDefault="00710D05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Povijesni prikaz razvoja poslovne etike.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0D20CB" w:rsidRPr="001E488F" w:rsidRDefault="00710D05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Prikaz povijesti etike – seminarski rad.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I1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0D20CB" w:rsidRPr="001E488F" w:rsidRDefault="00710D05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Etika odgovornosti.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0D20CB" w:rsidRPr="001E488F" w:rsidRDefault="00710D05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Razmatranja o etici odgovornosti.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I1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Moralna vrijednost. Moralnost i uobičajenost.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Tradicionalno i suvremeno shvaćanje moralnosti.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I2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Etika i gospodarstvo.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 xml:space="preserve"> I2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Temeljne etičke postavke uspješnog poslovanja.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I2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 xml:space="preserve">Etičko ponašanje prema klijentu.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Etičnost odnosa prema klijentu.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</w:tr>
      <w:tr w:rsidR="000D20CB" w:rsidRPr="001E488F" w:rsidTr="000D20CB">
        <w:trPr>
          <w:trHeight w:val="223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Obveze prema vlasniku, suradniku, državi i klijentu.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Načini zakidanja klijentu i kako ih spriječiti.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</w:tr>
      <w:tr w:rsidR="000D20CB" w:rsidRPr="001E488F" w:rsidTr="000D20CB">
        <w:trPr>
          <w:trHeight w:val="21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Zakidanje vlasnika i poslodavca.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Načini zakidanja države i poslodavca i kako ih spriječiti.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I4</w:t>
            </w:r>
          </w:p>
        </w:tc>
      </w:tr>
      <w:tr w:rsidR="000D20CB" w:rsidRPr="001E488F" w:rsidTr="000D20CB">
        <w:trPr>
          <w:trHeight w:val="217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Etika i ekologija.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Zaštita okoliša kao etička kategorija.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I2</w:t>
            </w:r>
          </w:p>
        </w:tc>
      </w:tr>
      <w:tr w:rsidR="000D20CB" w:rsidRPr="001E488F" w:rsidTr="000D20CB">
        <w:trPr>
          <w:trHeight w:val="222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Seksualno iskorištavanje u radnom okruženju.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0D20CB" w:rsidRPr="001E488F" w:rsidRDefault="00AA639D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Odnosi spolova u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radnom okruženju ugostiteljske </w:t>
            </w:r>
            <w:r w:rsidRPr="009F2789">
              <w:rPr>
                <w:rFonts w:ascii="Times New Roman" w:hAnsi="Times New Roman"/>
                <w:sz w:val="20"/>
                <w:lang w:val="hr-HR"/>
              </w:rPr>
              <w:t>djelatnosti.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I3</w:t>
            </w:r>
          </w:p>
        </w:tc>
      </w:tr>
      <w:tr w:rsidR="000D20CB" w:rsidRPr="001E488F" w:rsidTr="000D20CB">
        <w:trPr>
          <w:trHeight w:val="25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0D20CB" w:rsidRPr="001E488F" w:rsidRDefault="006D311C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Rodbinske veze, prijateljstvo, stranačke veze, vjerske, nacionalne i ostale veze.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4</w:t>
            </w:r>
          </w:p>
        </w:tc>
        <w:tc>
          <w:tcPr>
            <w:tcW w:w="4394" w:type="dxa"/>
          </w:tcPr>
          <w:p w:rsidR="000D20CB" w:rsidRPr="001E488F" w:rsidRDefault="006D311C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Veze – analiza primjera.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4</w:t>
            </w:r>
          </w:p>
        </w:tc>
      </w:tr>
      <w:tr w:rsidR="000D20CB" w:rsidRPr="001E488F" w:rsidTr="000D20CB">
        <w:trPr>
          <w:trHeight w:val="258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11.</w:t>
            </w:r>
          </w:p>
        </w:tc>
        <w:tc>
          <w:tcPr>
            <w:tcW w:w="4281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Ugovorni odnosi – pridržavanje ugovornih odnosa i etičnosti.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Etičnost ugovora i obveza ispunjenja ugovorenog.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I4</w:t>
            </w:r>
          </w:p>
        </w:tc>
      </w:tr>
      <w:tr w:rsidR="000D20CB" w:rsidRPr="001E488F" w:rsidTr="000D20CB">
        <w:trPr>
          <w:trHeight w:val="261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Lojalnost prema vlasniku i suvlasniku.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Lojalnost – pojam i primjeri.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I5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Etika u funkciji stjecanja profita.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Profit i etika – etičko i uspješno poslovanje.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306673">
              <w:rPr>
                <w:rFonts w:ascii="Times New Roman" w:hAnsi="Times New Roman"/>
                <w:b/>
                <w:sz w:val="20"/>
                <w:lang w:val="hr-HR"/>
              </w:rPr>
              <w:t>I6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Etika u funkciji stjecanja pozitivnog poslovnog imidža.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 xml:space="preserve"> I6</w:t>
            </w:r>
          </w:p>
        </w:tc>
        <w:tc>
          <w:tcPr>
            <w:tcW w:w="4394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Poslovni imidž kroz etičko ponašanje – analiza primjera.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I6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Dugoročno građenje poslovnog ugleda.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0D20CB" w:rsidRPr="001E488F" w:rsidRDefault="00594B28" w:rsidP="00E40CE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2789">
              <w:rPr>
                <w:rFonts w:ascii="Times New Roman" w:hAnsi="Times New Roman"/>
                <w:sz w:val="20"/>
                <w:lang w:val="hr-HR"/>
              </w:rPr>
              <w:t>Poslovni ugled i etika – analiza primjera.</w:t>
            </w:r>
            <w:r w:rsidRPr="009A4F9E">
              <w:rPr>
                <w:rFonts w:ascii="Times New Roman" w:hAnsi="Times New Roman"/>
                <w:b/>
                <w:sz w:val="20"/>
                <w:lang w:val="hr-HR"/>
              </w:rPr>
              <w:t xml:space="preserve"> I6</w:t>
            </w:r>
          </w:p>
        </w:tc>
      </w:tr>
    </w:tbl>
    <w:p w:rsidR="00594B28" w:rsidRDefault="00594B28" w:rsidP="00594B28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it-IT"/>
        </w:rPr>
      </w:pPr>
      <w:r>
        <w:rPr>
          <w:rFonts w:ascii="Cambria" w:hAnsi="Cambria" w:cs="Calibri"/>
          <w:b/>
          <w:sz w:val="20"/>
          <w:lang w:val="it-IT"/>
        </w:rPr>
        <w:t>Napomena: Zbog specifične epidem</w:t>
      </w:r>
      <w:r w:rsidR="00DC13E7">
        <w:rPr>
          <w:rFonts w:ascii="Cambria" w:hAnsi="Cambria" w:cs="Calibri"/>
          <w:b/>
          <w:sz w:val="20"/>
          <w:lang w:val="it-IT"/>
        </w:rPr>
        <w:t>iološke situacije u ak.god. 2022./2023</w:t>
      </w:r>
      <w:r>
        <w:rPr>
          <w:rFonts w:ascii="Cambria" w:hAnsi="Cambria" w:cs="Calibri"/>
          <w:b/>
          <w:sz w:val="20"/>
          <w:lang w:val="it-IT"/>
        </w:rPr>
        <w:t>. može doći do promjena u redosljedu obrade nastavnih jedinica kao i u načinima  vrednovanja studenata zbog djelomičnog  održavanja nastave na daljinu putem platformi Merlin i Big Blue Button.</w:t>
      </w:r>
    </w:p>
    <w:p w:rsidR="006C68C9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594B28" w:rsidRDefault="00594B2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594B28" w:rsidRPr="001E488F" w:rsidRDefault="00594B2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4B1C94" w:rsidRPr="006612F8" w:rsidRDefault="004B1C94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6612F8">
              <w:rPr>
                <w:rFonts w:ascii="Cambria" w:hAnsi="Cambria" w:cs="Calibri"/>
                <w:b/>
                <w:sz w:val="20"/>
              </w:rPr>
              <w:t>Osnovna</w:t>
            </w:r>
            <w:proofErr w:type="spellEnd"/>
          </w:p>
          <w:p w:rsidR="00F636EF" w:rsidRDefault="00F636EF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Vig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S. (2019.) </w:t>
            </w:r>
            <w:proofErr w:type="spellStart"/>
            <w:r>
              <w:rPr>
                <w:rFonts w:ascii="Cambria" w:hAnsi="Cambria" w:cs="Calibri"/>
                <w:sz w:val="20"/>
              </w:rPr>
              <w:t>Poslovna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etika</w:t>
            </w:r>
            <w:proofErr w:type="spellEnd"/>
            <w:r>
              <w:rPr>
                <w:rFonts w:ascii="Cambria" w:hAnsi="Cambria" w:cs="Calibri"/>
                <w:sz w:val="20"/>
              </w:rPr>
              <w:t>,</w:t>
            </w:r>
            <w:r w:rsidR="000914A4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Zagreb, CODUPO</w:t>
            </w:r>
          </w:p>
          <w:p w:rsidR="004B1C94" w:rsidRDefault="004B1C94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6612F8">
              <w:rPr>
                <w:rFonts w:ascii="Cambria" w:hAnsi="Cambria" w:cs="Calibri"/>
                <w:b/>
                <w:sz w:val="20"/>
              </w:rPr>
              <w:t>Dopunska</w:t>
            </w:r>
            <w:proofErr w:type="spellEnd"/>
          </w:p>
          <w:p w:rsidR="000914A4" w:rsidRPr="000914A4" w:rsidRDefault="000914A4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0914A4">
              <w:rPr>
                <w:rFonts w:ascii="Cambria" w:hAnsi="Cambria" w:cs="Calibri"/>
                <w:sz w:val="20"/>
              </w:rPr>
              <w:t>Jalšenjak,B.,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Krkač,K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>.(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ur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) (2016.)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Poslovna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etika,korporacijska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društvena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odgovornost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održivost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0914A4">
              <w:rPr>
                <w:rFonts w:ascii="Cambria" w:hAnsi="Cambria" w:cs="Calibri"/>
                <w:sz w:val="20"/>
              </w:rPr>
              <w:t>Zagreb,MATE</w:t>
            </w:r>
            <w:proofErr w:type="spellEnd"/>
            <w:r w:rsidRPr="000914A4">
              <w:rPr>
                <w:rFonts w:ascii="Cambria" w:hAnsi="Cambria" w:cs="Calibri"/>
                <w:sz w:val="20"/>
              </w:rPr>
              <w:t>-ZŠEM</w:t>
            </w:r>
          </w:p>
          <w:p w:rsidR="00220E03" w:rsidRDefault="00220E03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Bebek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>
              <w:rPr>
                <w:rFonts w:ascii="Cambria" w:hAnsi="Cambria" w:cs="Calibri"/>
                <w:sz w:val="20"/>
              </w:rPr>
              <w:t>Kolumbić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A. (2000.) </w:t>
            </w:r>
            <w:proofErr w:type="spellStart"/>
            <w:r>
              <w:rPr>
                <w:rFonts w:ascii="Cambria" w:hAnsi="Cambria" w:cs="Calibri"/>
                <w:sz w:val="20"/>
              </w:rPr>
              <w:t>Poslovna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etika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Zagreb: </w:t>
            </w:r>
            <w:proofErr w:type="spellStart"/>
            <w:r>
              <w:rPr>
                <w:rFonts w:ascii="Cambria" w:hAnsi="Cambria" w:cs="Calibri"/>
                <w:sz w:val="20"/>
              </w:rPr>
              <w:t>Sinergija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220E03" w:rsidRDefault="00220E03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Ferrell, O.C., </w:t>
            </w:r>
            <w:proofErr w:type="spellStart"/>
            <w:r>
              <w:rPr>
                <w:rFonts w:ascii="Cambria" w:hAnsi="Cambria" w:cs="Calibri"/>
                <w:sz w:val="20"/>
              </w:rPr>
              <w:t>Fraedrich</w:t>
            </w:r>
            <w:proofErr w:type="spellEnd"/>
            <w:r>
              <w:rPr>
                <w:rFonts w:ascii="Cambria" w:hAnsi="Cambria" w:cs="Calibri"/>
                <w:sz w:val="20"/>
              </w:rPr>
              <w:t>, J. (2002.) Ethical Decision Making and Cases. New York: Houghton Mifflin.</w:t>
            </w:r>
          </w:p>
          <w:p w:rsidR="00220E03" w:rsidRDefault="00220E03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Klose, A. (1996.) </w:t>
            </w:r>
            <w:proofErr w:type="spellStart"/>
            <w:r>
              <w:rPr>
                <w:rFonts w:ascii="Cambria" w:hAnsi="Cambria" w:cs="Calibri"/>
                <w:sz w:val="20"/>
              </w:rPr>
              <w:t>Poduzetnička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etika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Zagreb: </w:t>
            </w:r>
            <w:proofErr w:type="spellStart"/>
            <w:r>
              <w:rPr>
                <w:rFonts w:ascii="Cambria" w:hAnsi="Cambria" w:cs="Calibri"/>
                <w:sz w:val="20"/>
              </w:rPr>
              <w:t>Školska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knjiga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220E03" w:rsidRDefault="00220E03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Krkač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K. (2007.) </w:t>
            </w:r>
            <w:proofErr w:type="spellStart"/>
            <w:r>
              <w:rPr>
                <w:rFonts w:ascii="Cambria" w:hAnsi="Cambria" w:cs="Calibri"/>
                <w:sz w:val="20"/>
              </w:rPr>
              <w:t>Uvod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poslovnu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etiku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korporacijsku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društvenu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odgovornost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Biblioteka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Gospodarska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misao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220E03" w:rsidRDefault="00220E03" w:rsidP="00220E0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Žitinski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M. (2006.) </w:t>
            </w:r>
            <w:proofErr w:type="spellStart"/>
            <w:r>
              <w:rPr>
                <w:rFonts w:ascii="Cambria" w:hAnsi="Cambria" w:cs="Calibri"/>
                <w:sz w:val="20"/>
              </w:rPr>
              <w:t>Poslovna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etika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Sveučilište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Dubrovniku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</w:t>
      </w:r>
      <w:r w:rsidR="00DC13E7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</w:t>
      </w:r>
      <w:r w:rsidR="00DC13E7">
        <w:rPr>
          <w:rFonts w:ascii="Cambria" w:hAnsi="Cambria" w:cs="Calibri"/>
          <w:b/>
          <w:sz w:val="20"/>
          <w:u w:val="single"/>
          <w:lang w:val="hr-HR"/>
        </w:rPr>
        <w:t>2023</w:t>
      </w:r>
      <w:bookmarkStart w:id="0" w:name="_GoBack"/>
      <w:bookmarkEnd w:id="0"/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11201F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planu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studija</w:t>
            </w:r>
            <w:proofErr w:type="spellEnd"/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11201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Andreja Primužak, </w:t>
            </w:r>
            <w:proofErr w:type="spellStart"/>
            <w:r>
              <w:rPr>
                <w:rFonts w:ascii="Cambria" w:hAnsi="Cambria" w:cs="Calibri"/>
                <w:sz w:val="20"/>
              </w:rPr>
              <w:t>dipl.oec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11201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andreja.primuzak@vuka.hr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11201F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prema rasporedu konzultacija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3266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C13E7">
      <w:rPr>
        <w:noProof/>
        <w:sz w:val="12"/>
        <w:lang w:val="hr-HR"/>
      </w:rPr>
      <w:t>23.8.2022.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C13E7">
      <w:rPr>
        <w:noProof/>
        <w:sz w:val="12"/>
      </w:rPr>
      <w:t>9:16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478BD"/>
    <w:rsid w:val="000914A4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1201F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0E03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4764"/>
    <w:rsid w:val="002E79BD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2164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B1C94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94B28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12F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311C"/>
    <w:rsid w:val="006D5959"/>
    <w:rsid w:val="006E0F3F"/>
    <w:rsid w:val="006F1069"/>
    <w:rsid w:val="00710D05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0626"/>
    <w:rsid w:val="00811FE7"/>
    <w:rsid w:val="008133C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C641B"/>
    <w:rsid w:val="008D6260"/>
    <w:rsid w:val="008E7F5A"/>
    <w:rsid w:val="0091506E"/>
    <w:rsid w:val="009265F0"/>
    <w:rsid w:val="00927E16"/>
    <w:rsid w:val="00954A25"/>
    <w:rsid w:val="00956E3E"/>
    <w:rsid w:val="00962CCC"/>
    <w:rsid w:val="00963B0D"/>
    <w:rsid w:val="00976EF3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43DDF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A639D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3032"/>
    <w:rsid w:val="00CF7DA5"/>
    <w:rsid w:val="00D00346"/>
    <w:rsid w:val="00D148DC"/>
    <w:rsid w:val="00D14927"/>
    <w:rsid w:val="00D223AF"/>
    <w:rsid w:val="00D44A0E"/>
    <w:rsid w:val="00D515CA"/>
    <w:rsid w:val="00D56FB5"/>
    <w:rsid w:val="00D57EC0"/>
    <w:rsid w:val="00D61F59"/>
    <w:rsid w:val="00D73CC2"/>
    <w:rsid w:val="00D74CCB"/>
    <w:rsid w:val="00D87E53"/>
    <w:rsid w:val="00D90A11"/>
    <w:rsid w:val="00D9200E"/>
    <w:rsid w:val="00D97443"/>
    <w:rsid w:val="00DA53D3"/>
    <w:rsid w:val="00DA5400"/>
    <w:rsid w:val="00DC13E7"/>
    <w:rsid w:val="00DE4E59"/>
    <w:rsid w:val="00DF313C"/>
    <w:rsid w:val="00E007ED"/>
    <w:rsid w:val="00E01392"/>
    <w:rsid w:val="00E11DCC"/>
    <w:rsid w:val="00E1581C"/>
    <w:rsid w:val="00E36F0A"/>
    <w:rsid w:val="00E3776D"/>
    <w:rsid w:val="00E40CE1"/>
    <w:rsid w:val="00E517AD"/>
    <w:rsid w:val="00E73465"/>
    <w:rsid w:val="00E81592"/>
    <w:rsid w:val="00E90424"/>
    <w:rsid w:val="00EB3839"/>
    <w:rsid w:val="00EC052C"/>
    <w:rsid w:val="00EC53B2"/>
    <w:rsid w:val="00ED1724"/>
    <w:rsid w:val="00ED2C27"/>
    <w:rsid w:val="00ED436F"/>
    <w:rsid w:val="00ED68A1"/>
    <w:rsid w:val="00EE1099"/>
    <w:rsid w:val="00EF0BEB"/>
    <w:rsid w:val="00EF1AC8"/>
    <w:rsid w:val="00F0340B"/>
    <w:rsid w:val="00F04CA0"/>
    <w:rsid w:val="00F15463"/>
    <w:rsid w:val="00F2195E"/>
    <w:rsid w:val="00F40FE5"/>
    <w:rsid w:val="00F56BA5"/>
    <w:rsid w:val="00F636EF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6956268"/>
  <w15:docId w15:val="{E5C99509-651A-40F8-BEB7-E79B4EFA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C703-3122-4DE9-9837-9BA0BB17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Andreja Primužak</cp:lastModifiedBy>
  <cp:revision>3</cp:revision>
  <cp:lastPrinted>2021-09-07T10:26:00Z</cp:lastPrinted>
  <dcterms:created xsi:type="dcterms:W3CDTF">2022-08-23T07:16:00Z</dcterms:created>
  <dcterms:modified xsi:type="dcterms:W3CDTF">2022-08-23T07:18:00Z</dcterms:modified>
</cp:coreProperties>
</file>